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E0E01" w14:textId="77777777" w:rsidR="004D353F" w:rsidRPr="004D353F" w:rsidRDefault="004D353F" w:rsidP="004D353F">
      <w:pPr>
        <w:spacing w:line="240" w:lineRule="auto"/>
        <w:contextualSpacing/>
        <w:rPr>
          <w:rFonts w:ascii="Avenir" w:eastAsia="Times New Roman" w:hAnsi="Avenir" w:cs="Calibri"/>
          <w:spacing w:val="-10"/>
          <w:kern w:val="28"/>
          <w:sz w:val="56"/>
          <w:szCs w:val="56"/>
        </w:rPr>
      </w:pPr>
      <w:r w:rsidRPr="004D353F">
        <w:rPr>
          <w:rFonts w:ascii="Avenir" w:eastAsia="Times New Roman" w:hAnsi="Avenir" w:cs="Calibri"/>
          <w:spacing w:val="-10"/>
          <w:kern w:val="28"/>
          <w:sz w:val="56"/>
          <w:szCs w:val="56"/>
        </w:rPr>
        <w:t>Clayton County Zoning Rewrite</w:t>
      </w:r>
    </w:p>
    <w:p w14:paraId="39BC15FA" w14:textId="41A286EE" w:rsidR="004D353F" w:rsidRPr="004D353F" w:rsidRDefault="004D353F" w:rsidP="004D353F">
      <w:pPr>
        <w:spacing w:line="240" w:lineRule="auto"/>
        <w:contextualSpacing/>
        <w:rPr>
          <w:rFonts w:ascii="Avenir" w:eastAsia="Times New Roman" w:hAnsi="Avenir" w:cs="Calibri"/>
          <w:spacing w:val="-10"/>
          <w:kern w:val="28"/>
          <w:sz w:val="36"/>
          <w:szCs w:val="36"/>
        </w:rPr>
      </w:pP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Summary of Advisory Committee Meeting #</w:t>
      </w: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2</w:t>
      </w:r>
    </w:p>
    <w:p w14:paraId="7FA3FAF2" w14:textId="333D06C8" w:rsidR="004D353F" w:rsidRPr="004D353F" w:rsidRDefault="004D353F" w:rsidP="004D353F">
      <w:pPr>
        <w:spacing w:line="240" w:lineRule="auto"/>
        <w:contextualSpacing/>
        <w:rPr>
          <w:rFonts w:ascii="Avenir" w:eastAsia="Times New Roman" w:hAnsi="Avenir" w:cs="Calibri"/>
          <w:spacing w:val="-10"/>
          <w:kern w:val="28"/>
          <w:sz w:val="36"/>
          <w:szCs w:val="36"/>
        </w:rPr>
      </w:pP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Friday, December 12</w:t>
      </w: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, 2025; 1</w:t>
      </w: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0</w:t>
      </w: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:</w:t>
      </w: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3</w:t>
      </w: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0 AM – 12:</w:t>
      </w: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0</w:t>
      </w: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 xml:space="preserve">0 PM @ </w:t>
      </w:r>
    </w:p>
    <w:p w14:paraId="50DF2207" w14:textId="77777777" w:rsidR="004D353F" w:rsidRPr="004D353F" w:rsidRDefault="004D353F" w:rsidP="004D353F">
      <w:pPr>
        <w:spacing w:line="240" w:lineRule="auto"/>
        <w:contextualSpacing/>
        <w:rPr>
          <w:rFonts w:ascii="Avenir" w:eastAsia="Times New Roman" w:hAnsi="Avenir" w:cs="Calibri"/>
          <w:spacing w:val="-10"/>
          <w:kern w:val="28"/>
          <w:sz w:val="36"/>
          <w:szCs w:val="36"/>
        </w:rPr>
      </w:pPr>
      <w:r w:rsidRPr="004D353F">
        <w:rPr>
          <w:rFonts w:ascii="Avenir" w:eastAsia="Times New Roman" w:hAnsi="Avenir" w:cs="Calibri"/>
          <w:spacing w:val="-10"/>
          <w:kern w:val="28"/>
          <w:sz w:val="36"/>
          <w:szCs w:val="36"/>
        </w:rPr>
        <w:t>Clayton County Library Headquarters</w:t>
      </w:r>
    </w:p>
    <w:p w14:paraId="1B295A29" w14:textId="77777777" w:rsidR="004D353F" w:rsidRPr="004D353F" w:rsidRDefault="004D353F" w:rsidP="004D353F">
      <w:pPr>
        <w:spacing w:line="240" w:lineRule="auto"/>
        <w:contextualSpacing/>
        <w:rPr>
          <w:rFonts w:ascii="Avenir" w:eastAsia="Times New Roman" w:hAnsi="Avenir" w:cs="Calibri"/>
          <w:spacing w:val="-10"/>
          <w:kern w:val="28"/>
          <w:sz w:val="36"/>
          <w:szCs w:val="36"/>
        </w:rPr>
      </w:pPr>
      <w:r w:rsidRPr="004D353F">
        <w:rPr>
          <w:rFonts w:ascii="Avenir" w:eastAsia="Times New Roman" w:hAnsi="Avenir" w:cs="Calibri"/>
          <w:spacing w:val="-10"/>
          <w:kern w:val="28"/>
          <w:sz w:val="28"/>
          <w:szCs w:val="28"/>
        </w:rPr>
        <w:br/>
        <w:t>Prepared by: Sycamore Consulting, Inc.</w:t>
      </w:r>
    </w:p>
    <w:p w14:paraId="1C7494CA" w14:textId="77777777" w:rsidR="004D353F" w:rsidRPr="004D353F" w:rsidRDefault="004D353F" w:rsidP="004D353F">
      <w:pPr>
        <w:spacing w:line="254" w:lineRule="auto"/>
        <w:rPr>
          <w:rFonts w:ascii="Avenir" w:eastAsia="Calibri" w:hAnsi="Avenir" w:cs="Times New Roman"/>
        </w:rPr>
      </w:pPr>
    </w:p>
    <w:p w14:paraId="3F7CBE35" w14:textId="77777777" w:rsidR="004D353F" w:rsidRPr="004D353F" w:rsidRDefault="004D353F" w:rsidP="004D353F">
      <w:pPr>
        <w:spacing w:after="0" w:line="240" w:lineRule="auto"/>
        <w:rPr>
          <w:rFonts w:ascii="Avenir" w:eastAsia="Calibri" w:hAnsi="Avenir" w:cs="Calibri"/>
          <w:b/>
          <w:bCs/>
          <w:sz w:val="28"/>
          <w:szCs w:val="28"/>
          <w:u w:val="single"/>
        </w:rPr>
      </w:pPr>
      <w:r w:rsidRPr="004D353F">
        <w:rPr>
          <w:rFonts w:ascii="Avenir" w:eastAsia="Calibri" w:hAnsi="Avenir" w:cs="Calibri"/>
          <w:b/>
          <w:bCs/>
          <w:sz w:val="28"/>
          <w:szCs w:val="28"/>
          <w:u w:val="single"/>
        </w:rPr>
        <w:t>ADVISORY COMMITTEE MEMBERS</w:t>
      </w:r>
    </w:p>
    <w:p w14:paraId="4CB29593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Brian Dorelus, Aerotropolis Atlanta Alliance</w:t>
      </w:r>
    </w:p>
    <w:p w14:paraId="7A20FE31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JoAnn Johnson, Brooks Manor Community Partnership LLC</w:t>
      </w:r>
    </w:p>
    <w:p w14:paraId="5EC49D2D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Sean MacDonald, Clayton County Corrections/ Code Enforcement</w:t>
      </w:r>
    </w:p>
    <w:p w14:paraId="37CEBF75" w14:textId="2B8B6D5B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 xml:space="preserve">Jeff Metarko, </w:t>
      </w:r>
      <w:r w:rsidRPr="004D353F">
        <w:rPr>
          <w:rFonts w:ascii="Avenir" w:eastAsia="Calibri" w:hAnsi="Avenir" w:cs="Times New Roman"/>
          <w:sz w:val="24"/>
          <w:szCs w:val="24"/>
        </w:rPr>
        <w:t>Clayton County</w:t>
      </w:r>
      <w:r w:rsidRPr="004D353F">
        <w:rPr>
          <w:rFonts w:ascii="Avenir" w:eastAsia="Calibri" w:hAnsi="Avenir" w:cs="Times New Roman"/>
          <w:sz w:val="24"/>
          <w:szCs w:val="24"/>
        </w:rPr>
        <w:t xml:space="preserve"> </w:t>
      </w:r>
      <w:r w:rsidRPr="004D353F">
        <w:rPr>
          <w:rFonts w:ascii="Avenir" w:eastAsia="Calibri" w:hAnsi="Avenir" w:cs="Times New Roman"/>
          <w:sz w:val="24"/>
          <w:szCs w:val="24"/>
        </w:rPr>
        <w:t>T</w:t>
      </w:r>
      <w:r w:rsidRPr="004D353F">
        <w:rPr>
          <w:rFonts w:ascii="Avenir" w:eastAsia="Calibri" w:hAnsi="Avenir" w:cs="Times New Roman"/>
          <w:sz w:val="24"/>
          <w:szCs w:val="24"/>
        </w:rPr>
        <w:t xml:space="preserve">ransportation &amp; </w:t>
      </w:r>
      <w:r w:rsidRPr="004D353F">
        <w:rPr>
          <w:rFonts w:ascii="Avenir" w:eastAsia="Calibri" w:hAnsi="Avenir" w:cs="Times New Roman"/>
          <w:sz w:val="24"/>
          <w:szCs w:val="24"/>
        </w:rPr>
        <w:t>D</w:t>
      </w:r>
      <w:r w:rsidRPr="004D353F">
        <w:rPr>
          <w:rFonts w:ascii="Avenir" w:eastAsia="Calibri" w:hAnsi="Avenir" w:cs="Times New Roman"/>
          <w:sz w:val="24"/>
          <w:szCs w:val="24"/>
        </w:rPr>
        <w:t>evelopment</w:t>
      </w:r>
    </w:p>
    <w:p w14:paraId="1193CBDD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Cindy Hanson, Consultant with Clayton County</w:t>
      </w:r>
    </w:p>
    <w:p w14:paraId="6E00A763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 xml:space="preserve">Cornell Madison, Cornell Madison </w:t>
      </w:r>
      <w:proofErr w:type="gramStart"/>
      <w:r w:rsidRPr="004D353F">
        <w:rPr>
          <w:rFonts w:ascii="Avenir" w:eastAsia="Calibri" w:hAnsi="Avenir" w:cs="Times New Roman"/>
          <w:sz w:val="24"/>
          <w:szCs w:val="24"/>
        </w:rPr>
        <w:t>For</w:t>
      </w:r>
      <w:proofErr w:type="gramEnd"/>
      <w:r w:rsidRPr="004D353F">
        <w:rPr>
          <w:rFonts w:ascii="Avenir" w:eastAsia="Calibri" w:hAnsi="Avenir" w:cs="Times New Roman"/>
          <w:sz w:val="24"/>
          <w:szCs w:val="24"/>
        </w:rPr>
        <w:t xml:space="preserve"> Sheriff</w:t>
      </w:r>
    </w:p>
    <w:p w14:paraId="2A227375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Eric Glover, District 3</w:t>
      </w:r>
    </w:p>
    <w:p w14:paraId="06B417F7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Patrick Ejike, Clayton County CEDD</w:t>
      </w:r>
    </w:p>
    <w:p w14:paraId="293F313A" w14:textId="460804A5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proofErr w:type="spellStart"/>
      <w:r w:rsidRPr="004D353F">
        <w:rPr>
          <w:rFonts w:ascii="Avenir" w:eastAsia="Calibri" w:hAnsi="Avenir" w:cs="Times New Roman"/>
          <w:sz w:val="24"/>
          <w:szCs w:val="24"/>
        </w:rPr>
        <w:t>Altimese</w:t>
      </w:r>
      <w:proofErr w:type="spellEnd"/>
      <w:r w:rsidRPr="004D353F">
        <w:rPr>
          <w:rFonts w:ascii="Avenir" w:eastAsia="Calibri" w:hAnsi="Avenir" w:cs="Times New Roman"/>
          <w:sz w:val="24"/>
          <w:szCs w:val="24"/>
        </w:rPr>
        <w:t xml:space="preserve"> Dees, The Real Estate Gallery of Georgia</w:t>
      </w:r>
    </w:p>
    <w:p w14:paraId="785051FD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</w:p>
    <w:p w14:paraId="3C664189" w14:textId="77777777" w:rsidR="004D353F" w:rsidRPr="004D353F" w:rsidRDefault="004D353F" w:rsidP="004D353F">
      <w:pPr>
        <w:spacing w:after="0" w:line="240" w:lineRule="auto"/>
        <w:rPr>
          <w:rFonts w:ascii="Avenir" w:eastAsia="Calibri" w:hAnsi="Avenir" w:cs="Calibri"/>
          <w:b/>
          <w:bCs/>
          <w:sz w:val="28"/>
          <w:szCs w:val="28"/>
          <w:u w:val="single"/>
        </w:rPr>
      </w:pPr>
      <w:r w:rsidRPr="004D353F">
        <w:rPr>
          <w:rFonts w:ascii="Avenir" w:eastAsia="Calibri" w:hAnsi="Avenir" w:cs="Calibri"/>
          <w:b/>
          <w:bCs/>
          <w:sz w:val="28"/>
          <w:szCs w:val="28"/>
          <w:u w:val="single"/>
        </w:rPr>
        <w:t>STUDY AREA TOUR TEAM MEMBERS</w:t>
      </w:r>
    </w:p>
    <w:p w14:paraId="39ECEA87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Patrick Ejike, Clayton County</w:t>
      </w:r>
    </w:p>
    <w:p w14:paraId="598EC6A9" w14:textId="4BE535CD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Tyler McSwain, Clayton County</w:t>
      </w:r>
      <w:r w:rsidRPr="004D353F">
        <w:rPr>
          <w:rFonts w:ascii="Avenir" w:eastAsia="Calibri" w:hAnsi="Avenir" w:cs="Times New Roman"/>
          <w:sz w:val="24"/>
          <w:szCs w:val="24"/>
        </w:rPr>
        <w:br/>
      </w:r>
      <w:r w:rsidRPr="004D353F">
        <w:rPr>
          <w:rFonts w:ascii="Avenir" w:eastAsia="Calibri" w:hAnsi="Avenir" w:cs="Times New Roman"/>
          <w:sz w:val="24"/>
          <w:szCs w:val="24"/>
        </w:rPr>
        <w:t>Tiras Petrea</w:t>
      </w:r>
      <w:r w:rsidRPr="004D353F">
        <w:rPr>
          <w:rFonts w:ascii="Avenir" w:eastAsia="Calibri" w:hAnsi="Avenir" w:cs="Times New Roman"/>
          <w:sz w:val="24"/>
          <w:szCs w:val="24"/>
        </w:rPr>
        <w:t>, Clayton County</w:t>
      </w:r>
    </w:p>
    <w:p w14:paraId="55681E4E" w14:textId="77777777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</w:rPr>
      </w:pPr>
      <w:r w:rsidRPr="004D353F">
        <w:rPr>
          <w:rFonts w:ascii="Avenir" w:eastAsia="Calibri" w:hAnsi="Avenir" w:cs="Times New Roman"/>
          <w:sz w:val="24"/>
          <w:szCs w:val="24"/>
        </w:rPr>
        <w:t>Kessi Estil, Sizemore Group</w:t>
      </w:r>
    </w:p>
    <w:p w14:paraId="165F792B" w14:textId="4CFB06DD" w:rsidR="004D353F" w:rsidRPr="004D353F" w:rsidRDefault="004D353F" w:rsidP="004D353F">
      <w:pPr>
        <w:spacing w:after="0" w:line="254" w:lineRule="auto"/>
        <w:rPr>
          <w:rFonts w:ascii="Avenir" w:eastAsia="Calibri" w:hAnsi="Avenir" w:cs="Times New Roman"/>
          <w:sz w:val="24"/>
          <w:szCs w:val="24"/>
          <w:highlight w:val="yellow"/>
        </w:rPr>
      </w:pPr>
      <w:r w:rsidRPr="004D353F">
        <w:rPr>
          <w:rFonts w:ascii="Avenir" w:eastAsia="Calibri" w:hAnsi="Avenir" w:cs="Times New Roman"/>
          <w:sz w:val="24"/>
          <w:szCs w:val="24"/>
        </w:rPr>
        <w:t>Pulkit Jain, Sizemore Group</w:t>
      </w:r>
      <w:r w:rsidRPr="004D353F">
        <w:rPr>
          <w:rFonts w:ascii="Avenir" w:eastAsia="Calibri" w:hAnsi="Avenir" w:cs="Times New Roman"/>
          <w:sz w:val="24"/>
          <w:szCs w:val="24"/>
        </w:rPr>
        <w:br/>
        <w:t>Madison Davis, Sycamore Consulting, Inc</w:t>
      </w:r>
      <w:r w:rsidRPr="004D353F">
        <w:rPr>
          <w:rFonts w:ascii="Avenir" w:eastAsia="Calibri" w:hAnsi="Avenir" w:cs="Times New Roman"/>
          <w:sz w:val="24"/>
          <w:szCs w:val="24"/>
        </w:rPr>
        <w:br/>
        <w:t>Justin Wallace, White Smith Cousino</w:t>
      </w:r>
      <w:r w:rsidRPr="004D353F">
        <w:rPr>
          <w:rFonts w:ascii="Avenir" w:eastAsia="Calibri" w:hAnsi="Avenir" w:cs="Times New Roman"/>
          <w:sz w:val="24"/>
          <w:szCs w:val="24"/>
        </w:rPr>
        <w:br/>
        <w:t>Mark White, White Smith Cousino</w:t>
      </w:r>
      <w:r w:rsidRPr="004D353F">
        <w:rPr>
          <w:rFonts w:ascii="Avenir" w:eastAsia="Calibri" w:hAnsi="Avenir" w:cs="Times New Roman"/>
          <w:sz w:val="24"/>
          <w:szCs w:val="24"/>
          <w:highlight w:val="yellow"/>
        </w:rPr>
        <w:br/>
      </w:r>
    </w:p>
    <w:p w14:paraId="67B83080" w14:textId="77777777" w:rsidR="004D353F" w:rsidRPr="004D353F" w:rsidRDefault="004D353F" w:rsidP="004D353F">
      <w:pPr>
        <w:rPr>
          <w:rFonts w:ascii="Avenir" w:eastAsia="Calibri" w:hAnsi="Avenir" w:cs="Times New Roman"/>
          <w:b/>
          <w:bCs/>
          <w:sz w:val="28"/>
          <w:szCs w:val="28"/>
          <w:highlight w:val="yellow"/>
          <w:u w:val="single"/>
        </w:rPr>
      </w:pPr>
      <w:r w:rsidRPr="004D353F">
        <w:rPr>
          <w:rFonts w:ascii="Avenir" w:eastAsia="Calibri" w:hAnsi="Avenir" w:cs="Times New Roman"/>
          <w:b/>
          <w:bCs/>
          <w:sz w:val="28"/>
          <w:szCs w:val="28"/>
          <w:highlight w:val="yellow"/>
          <w:u w:val="single"/>
        </w:rPr>
        <w:br w:type="page"/>
      </w:r>
    </w:p>
    <w:p w14:paraId="20297C16" w14:textId="77777777" w:rsidR="004D353F" w:rsidRPr="009C060A" w:rsidRDefault="004D353F" w:rsidP="004D353F">
      <w:pPr>
        <w:spacing w:line="254" w:lineRule="auto"/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</w:pPr>
      <w:r w:rsidRPr="009C060A"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  <w:lastRenderedPageBreak/>
        <w:t>ENGAGEMENT PURPOSE</w:t>
      </w:r>
    </w:p>
    <w:p w14:paraId="728A2CCF" w14:textId="5D933826" w:rsidR="004D353F" w:rsidRPr="009C060A" w:rsidRDefault="004D353F" w:rsidP="004D353F">
      <w:pPr>
        <w:spacing w:line="254" w:lineRule="auto"/>
        <w:rPr>
          <w:rFonts w:ascii="Avenir" w:eastAsia="Calibri" w:hAnsi="Avenir" w:cs="Times New Roman"/>
          <w:sz w:val="24"/>
          <w:szCs w:val="24"/>
        </w:rPr>
      </w:pPr>
      <w:r w:rsidRPr="009C060A">
        <w:rPr>
          <w:rFonts w:ascii="Avenir" w:eastAsia="Calibri" w:hAnsi="Avenir" w:cs="Times New Roman"/>
          <w:sz w:val="24"/>
          <w:szCs w:val="24"/>
        </w:rPr>
        <w:t xml:space="preserve">The purpose of Advisory Committee Meeting </w:t>
      </w:r>
      <w:r w:rsidRPr="009C060A">
        <w:rPr>
          <w:rFonts w:ascii="Avenir" w:eastAsia="Calibri" w:hAnsi="Avenir" w:cs="Times New Roman"/>
          <w:sz w:val="24"/>
          <w:szCs w:val="24"/>
        </w:rPr>
        <w:t>2</w:t>
      </w:r>
      <w:r w:rsidRPr="009C060A">
        <w:rPr>
          <w:rFonts w:ascii="Avenir" w:eastAsia="Calibri" w:hAnsi="Avenir" w:cs="Times New Roman"/>
          <w:sz w:val="24"/>
          <w:szCs w:val="24"/>
        </w:rPr>
        <w:t xml:space="preserve"> was to </w:t>
      </w:r>
      <w:r w:rsidRPr="009C060A">
        <w:rPr>
          <w:rFonts w:ascii="Avenir" w:eastAsia="Calibri" w:hAnsi="Avenir" w:cs="Times New Roman"/>
          <w:sz w:val="24"/>
          <w:szCs w:val="24"/>
        </w:rPr>
        <w:t>review</w:t>
      </w:r>
      <w:r w:rsidRPr="009C060A">
        <w:rPr>
          <w:rFonts w:ascii="Avenir" w:eastAsia="Calibri" w:hAnsi="Avenir" w:cs="Times New Roman"/>
          <w:sz w:val="24"/>
          <w:szCs w:val="24"/>
        </w:rPr>
        <w:t xml:space="preserve"> the project’s intent, process and schedule, and </w:t>
      </w:r>
      <w:r w:rsidRPr="009C060A">
        <w:rPr>
          <w:rFonts w:ascii="Avenir" w:eastAsia="Calibri" w:hAnsi="Avenir" w:cs="Times New Roman"/>
          <w:sz w:val="24"/>
          <w:szCs w:val="24"/>
        </w:rPr>
        <w:t>collect feedback on the completed code diagnostic review</w:t>
      </w:r>
      <w:r w:rsidRPr="009C060A">
        <w:rPr>
          <w:rFonts w:ascii="Avenir" w:eastAsia="Calibri" w:hAnsi="Avenir" w:cs="Times New Roman"/>
          <w:sz w:val="24"/>
          <w:szCs w:val="24"/>
        </w:rPr>
        <w:t xml:space="preserve">. The project team selected Clayton County Library Headquarters as the venue for this meeting. The goal of the engagement activities was to educate and solicit general feedback on the </w:t>
      </w:r>
      <w:r w:rsidRPr="009C060A">
        <w:rPr>
          <w:rFonts w:ascii="Avenir" w:eastAsia="Calibri" w:hAnsi="Avenir" w:cs="Times New Roman"/>
          <w:sz w:val="24"/>
          <w:szCs w:val="24"/>
        </w:rPr>
        <w:t>central themes and areas of attention identified through the diagnostic review and survey their validity amongst the audience</w:t>
      </w:r>
      <w:r w:rsidRPr="009C060A">
        <w:rPr>
          <w:rFonts w:ascii="Avenir" w:eastAsia="Calibri" w:hAnsi="Avenir" w:cs="Times New Roman"/>
          <w:sz w:val="24"/>
          <w:szCs w:val="24"/>
        </w:rPr>
        <w:t xml:space="preserve">. The team also </w:t>
      </w:r>
      <w:r w:rsidRPr="009C060A">
        <w:rPr>
          <w:rFonts w:ascii="Avenir" w:eastAsia="Calibri" w:hAnsi="Avenir" w:cs="Times New Roman"/>
          <w:sz w:val="24"/>
          <w:szCs w:val="24"/>
        </w:rPr>
        <w:t>provided an overview of major takeaways from Community Meeting Series 1</w:t>
      </w:r>
      <w:r w:rsidRPr="009C060A">
        <w:rPr>
          <w:rFonts w:ascii="Avenir" w:eastAsia="Calibri" w:hAnsi="Avenir" w:cs="Times New Roman"/>
          <w:sz w:val="24"/>
          <w:szCs w:val="24"/>
        </w:rPr>
        <w:t>.</w:t>
      </w:r>
    </w:p>
    <w:p w14:paraId="39E5F2B7" w14:textId="77777777" w:rsidR="004D353F" w:rsidRPr="009C060A" w:rsidRDefault="004D353F" w:rsidP="004D353F">
      <w:pPr>
        <w:spacing w:line="254" w:lineRule="auto"/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</w:pPr>
    </w:p>
    <w:p w14:paraId="459D3783" w14:textId="77777777" w:rsidR="004D353F" w:rsidRPr="009C060A" w:rsidRDefault="004D353F" w:rsidP="004D353F">
      <w:pPr>
        <w:spacing w:line="254" w:lineRule="auto"/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</w:pPr>
      <w:r w:rsidRPr="009C060A">
        <w:rPr>
          <w:rFonts w:ascii="Avenir" w:eastAsia="Calibri" w:hAnsi="Avenir" w:cs="Times New Roman"/>
          <w:b/>
          <w:bCs/>
          <w:sz w:val="28"/>
          <w:szCs w:val="28"/>
          <w:u w:val="single"/>
          <w:lang w:val="en"/>
        </w:rPr>
        <w:t>ENGAGEMENT SUMMARY</w:t>
      </w:r>
    </w:p>
    <w:p w14:paraId="3B677F0C" w14:textId="2FBD0F41" w:rsidR="004D353F" w:rsidRPr="009C060A" w:rsidRDefault="004D353F" w:rsidP="004D353F">
      <w:pPr>
        <w:spacing w:line="254" w:lineRule="auto"/>
        <w:rPr>
          <w:rFonts w:ascii="Avenir" w:eastAsia="Calibri" w:hAnsi="Avenir" w:cs="Times New Roman"/>
          <w:sz w:val="24"/>
          <w:szCs w:val="24"/>
          <w:lang w:val="en"/>
        </w:rPr>
      </w:pPr>
      <w:r w:rsidRPr="009C060A">
        <w:rPr>
          <w:rFonts w:ascii="Avenir" w:eastAsia="Calibri" w:hAnsi="Avenir" w:cs="Times New Roman"/>
          <w:sz w:val="24"/>
          <w:szCs w:val="24"/>
          <w:lang w:val="en"/>
        </w:rPr>
        <w:t xml:space="preserve">The meeting consisted of a presentation given by the project team to </w:t>
      </w:r>
      <w:r w:rsidRPr="009C060A">
        <w:rPr>
          <w:rFonts w:ascii="Avenir" w:eastAsia="Calibri" w:hAnsi="Avenir" w:cs="Times New Roman"/>
          <w:sz w:val="24"/>
          <w:szCs w:val="24"/>
          <w:lang w:val="en"/>
        </w:rPr>
        <w:t>review the project schedule and tasks completed to date, prov</w:t>
      </w:r>
      <w:r w:rsidR="009C060A" w:rsidRPr="009C060A">
        <w:rPr>
          <w:rFonts w:ascii="Avenir" w:eastAsia="Calibri" w:hAnsi="Avenir" w:cs="Times New Roman"/>
          <w:sz w:val="24"/>
          <w:szCs w:val="24"/>
          <w:lang w:val="en"/>
        </w:rPr>
        <w:t xml:space="preserve">ide an overview of community engagement efforts, and </w:t>
      </w:r>
      <w:r w:rsidRPr="009C060A">
        <w:rPr>
          <w:rFonts w:ascii="Avenir" w:eastAsia="Calibri" w:hAnsi="Avenir" w:cs="Times New Roman"/>
          <w:sz w:val="24"/>
          <w:szCs w:val="24"/>
          <w:lang w:val="en"/>
        </w:rPr>
        <w:t>initiate discussion a</w:t>
      </w:r>
      <w:r w:rsidR="009C060A" w:rsidRPr="009C060A">
        <w:rPr>
          <w:rFonts w:ascii="Avenir" w:eastAsia="Calibri" w:hAnsi="Avenir" w:cs="Times New Roman"/>
          <w:sz w:val="24"/>
          <w:szCs w:val="24"/>
          <w:lang w:val="en"/>
        </w:rPr>
        <w:t>bout the framework being used to approach the rewrite effort</w:t>
      </w:r>
      <w:r w:rsidRPr="009C060A">
        <w:rPr>
          <w:rFonts w:ascii="Avenir" w:eastAsia="Calibri" w:hAnsi="Avenir" w:cs="Times New Roman"/>
          <w:sz w:val="24"/>
          <w:szCs w:val="24"/>
          <w:lang w:val="en"/>
        </w:rPr>
        <w:t>. The attendees offered the following comments and suggestions during the meeting:</w:t>
      </w:r>
    </w:p>
    <w:p w14:paraId="0C81BCC4" w14:textId="77777777" w:rsidR="004D353F" w:rsidRPr="00C201E1" w:rsidRDefault="004D353F" w:rsidP="004D353F">
      <w:pPr>
        <w:spacing w:line="254" w:lineRule="auto"/>
        <w:rPr>
          <w:rFonts w:ascii="Avenir" w:eastAsia="Calibri" w:hAnsi="Avenir" w:cs="Times New Roman"/>
          <w:sz w:val="28"/>
          <w:szCs w:val="28"/>
          <w:u w:val="single"/>
        </w:rPr>
      </w:pPr>
      <w:r w:rsidRPr="00C201E1">
        <w:rPr>
          <w:rFonts w:ascii="Avenir" w:eastAsia="Calibri" w:hAnsi="Avenir" w:cs="Times New Roman"/>
          <w:sz w:val="28"/>
          <w:szCs w:val="28"/>
          <w:u w:val="single"/>
        </w:rPr>
        <w:t>General Notes</w:t>
      </w:r>
    </w:p>
    <w:p w14:paraId="541A4EB8" w14:textId="0DAC720E" w:rsidR="008F7B68" w:rsidRPr="00C201E1" w:rsidRDefault="004D353F" w:rsidP="008F7B68">
      <w:pPr>
        <w:pStyle w:val="ListParagraph"/>
        <w:numPr>
          <w:ilvl w:val="0"/>
          <w:numId w:val="5"/>
        </w:numPr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 xml:space="preserve">Attendees would like to see </w:t>
      </w:r>
      <w:r w:rsidR="008F7B68" w:rsidRPr="00C201E1">
        <w:rPr>
          <w:rFonts w:ascii="Avenir" w:eastAsia="Calibri" w:hAnsi="Avenir" w:cs="Times New Roman"/>
          <w:sz w:val="24"/>
          <w:szCs w:val="24"/>
        </w:rPr>
        <w:t>land bank/county-</w:t>
      </w:r>
      <w:r w:rsidR="008F7B68" w:rsidRPr="00C201E1">
        <w:rPr>
          <w:rFonts w:ascii="Avenir" w:eastAsia="Calibri" w:hAnsi="Avenir" w:cs="Times New Roman"/>
          <w:sz w:val="24"/>
          <w:szCs w:val="24"/>
        </w:rPr>
        <w:t>owned</w:t>
      </w:r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 lands </w:t>
      </w:r>
      <w:proofErr w:type="gramStart"/>
      <w:r w:rsidR="008F7B68" w:rsidRPr="00C201E1">
        <w:rPr>
          <w:rFonts w:ascii="Avenir" w:eastAsia="Calibri" w:hAnsi="Avenir" w:cs="Times New Roman"/>
          <w:sz w:val="24"/>
          <w:szCs w:val="24"/>
        </w:rPr>
        <w:t>demarcated</w:t>
      </w:r>
      <w:proofErr w:type="gramEnd"/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 and </w:t>
      </w:r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better </w:t>
      </w:r>
      <w:r w:rsidR="008F7B68" w:rsidRPr="00C201E1">
        <w:rPr>
          <w:rFonts w:ascii="Avenir" w:eastAsia="Calibri" w:hAnsi="Avenir" w:cs="Times New Roman"/>
          <w:sz w:val="24"/>
          <w:szCs w:val="24"/>
        </w:rPr>
        <w:t>maintained</w:t>
      </w:r>
      <w:r w:rsidR="008F7B68" w:rsidRPr="00C201E1">
        <w:rPr>
          <w:rFonts w:ascii="Avenir" w:eastAsia="Calibri" w:hAnsi="Avenir" w:cs="Times New Roman"/>
          <w:sz w:val="24"/>
          <w:szCs w:val="24"/>
        </w:rPr>
        <w:t>, specifically</w:t>
      </w:r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 clearing</w:t>
      </w:r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 the</w:t>
      </w:r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 right-of-way</w:t>
      </w:r>
      <w:r w:rsidR="008F7B68" w:rsidRPr="00C201E1">
        <w:rPr>
          <w:rFonts w:ascii="Avenir" w:eastAsia="Calibri" w:hAnsi="Avenir" w:cs="Times New Roman"/>
          <w:sz w:val="24"/>
          <w:szCs w:val="24"/>
        </w:rPr>
        <w:t>/direct access</w:t>
      </w:r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 to property</w:t>
      </w:r>
    </w:p>
    <w:p w14:paraId="683350AA" w14:textId="3E98EA1F" w:rsidR="004D353F" w:rsidRPr="00C201E1" w:rsidRDefault="008F7B68" w:rsidP="008F7B68">
      <w:pPr>
        <w:pStyle w:val="ListParagraph"/>
        <w:numPr>
          <w:ilvl w:val="1"/>
          <w:numId w:val="5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C</w:t>
      </w:r>
      <w:r w:rsidRPr="00C201E1">
        <w:rPr>
          <w:rFonts w:ascii="Avenir" w:eastAsia="Calibri" w:hAnsi="Avenir" w:cs="Times New Roman"/>
          <w:sz w:val="24"/>
          <w:szCs w:val="24"/>
        </w:rPr>
        <w:t>ounty is working to map out the</w:t>
      </w:r>
      <w:r w:rsidRPr="00C201E1">
        <w:rPr>
          <w:rFonts w:ascii="Avenir" w:eastAsia="Calibri" w:hAnsi="Avenir" w:cs="Times New Roman"/>
          <w:sz w:val="24"/>
          <w:szCs w:val="24"/>
        </w:rPr>
        <w:t>se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properties as well as highlighting/promoting </w:t>
      </w:r>
      <w:proofErr w:type="gramStart"/>
      <w:r w:rsidRPr="00C201E1">
        <w:rPr>
          <w:rFonts w:ascii="Avenir" w:eastAsia="Calibri" w:hAnsi="Avenir" w:cs="Times New Roman"/>
          <w:sz w:val="24"/>
          <w:szCs w:val="24"/>
        </w:rPr>
        <w:t>particular properties</w:t>
      </w:r>
      <w:proofErr w:type="gramEnd"/>
      <w:r w:rsidRPr="00C201E1">
        <w:rPr>
          <w:rFonts w:ascii="Avenir" w:eastAsia="Calibri" w:hAnsi="Avenir" w:cs="Times New Roman"/>
          <w:sz w:val="24"/>
          <w:szCs w:val="24"/>
        </w:rPr>
        <w:t xml:space="preserve"> as marketing opportunities</w:t>
      </w:r>
    </w:p>
    <w:p w14:paraId="3498695E" w14:textId="77777777" w:rsidR="008F7B68" w:rsidRPr="00C201E1" w:rsidRDefault="008F7B68" w:rsidP="008F7B68">
      <w:pPr>
        <w:pStyle w:val="ListParagraph"/>
        <w:numPr>
          <w:ilvl w:val="1"/>
          <w:numId w:val="5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Expressed a need to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communicate to residents that they will need to "shoulder the burden" of sprucing up the county's appeal </w:t>
      </w:r>
      <w:proofErr w:type="gramStart"/>
      <w:r w:rsidRPr="00C201E1">
        <w:rPr>
          <w:rFonts w:ascii="Avenir" w:eastAsia="Calibri" w:hAnsi="Avenir" w:cs="Times New Roman"/>
          <w:sz w:val="24"/>
          <w:szCs w:val="24"/>
        </w:rPr>
        <w:t>in order to</w:t>
      </w:r>
      <w:proofErr w:type="gramEnd"/>
      <w:r w:rsidRPr="00C201E1">
        <w:rPr>
          <w:rFonts w:ascii="Avenir" w:eastAsia="Calibri" w:hAnsi="Avenir" w:cs="Times New Roman"/>
          <w:sz w:val="24"/>
          <w:szCs w:val="24"/>
        </w:rPr>
        <w:t xml:space="preserve"> attract the type of businesses </w:t>
      </w:r>
      <w:r w:rsidRPr="00C201E1">
        <w:rPr>
          <w:rFonts w:ascii="Avenir" w:eastAsia="Calibri" w:hAnsi="Avenir" w:cs="Times New Roman"/>
          <w:sz w:val="24"/>
          <w:szCs w:val="24"/>
        </w:rPr>
        <w:t>they want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and better support revenue generation in the county</w:t>
      </w:r>
    </w:p>
    <w:p w14:paraId="0B0B5DF7" w14:textId="6C421893" w:rsidR="00C201E1" w:rsidRPr="00C201E1" w:rsidRDefault="00C201E1" w:rsidP="00C201E1">
      <w:pPr>
        <w:pStyle w:val="ListParagraph"/>
        <w:numPr>
          <w:ilvl w:val="0"/>
          <w:numId w:val="5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Attendees suggested the team attend PTA meetings or senior services/parks and recreation events as pop-up events during 2026.</w:t>
      </w:r>
    </w:p>
    <w:p w14:paraId="49D16F15" w14:textId="77777777" w:rsidR="004D353F" w:rsidRPr="00C201E1" w:rsidRDefault="004D353F" w:rsidP="004D353F">
      <w:pPr>
        <w:spacing w:line="254" w:lineRule="auto"/>
        <w:rPr>
          <w:rFonts w:ascii="Avenir" w:eastAsia="Calibri" w:hAnsi="Avenir" w:cs="Times New Roman"/>
          <w:sz w:val="28"/>
          <w:szCs w:val="28"/>
          <w:u w:val="single"/>
        </w:rPr>
      </w:pPr>
      <w:r w:rsidRPr="00C201E1">
        <w:rPr>
          <w:rFonts w:ascii="Avenir" w:eastAsia="Calibri" w:hAnsi="Avenir" w:cs="Times New Roman"/>
          <w:sz w:val="28"/>
          <w:szCs w:val="28"/>
          <w:u w:val="single"/>
        </w:rPr>
        <w:t>Discussion Notes</w:t>
      </w:r>
    </w:p>
    <w:p w14:paraId="029F4AC1" w14:textId="17C4CE1D" w:rsidR="004D353F" w:rsidRPr="00C201E1" w:rsidRDefault="00C201E1" w:rsidP="004D353F">
      <w:pPr>
        <w:spacing w:line="256" w:lineRule="auto"/>
        <w:rPr>
          <w:rFonts w:ascii="Avenir" w:eastAsia="Calibri" w:hAnsi="Avenir" w:cs="Times New Roman"/>
          <w:b/>
          <w:bCs/>
          <w:sz w:val="24"/>
          <w:szCs w:val="24"/>
        </w:rPr>
      </w:pPr>
      <w:r w:rsidRPr="00C201E1">
        <w:rPr>
          <w:rFonts w:ascii="Avenir" w:eastAsia="Calibri" w:hAnsi="Avenir" w:cs="Times New Roman"/>
          <w:b/>
          <w:bCs/>
          <w:sz w:val="24"/>
          <w:szCs w:val="24"/>
        </w:rPr>
        <w:t>Residential</w:t>
      </w:r>
    </w:p>
    <w:p w14:paraId="2887BDA7" w14:textId="77777777" w:rsidR="009C060A" w:rsidRPr="00C201E1" w:rsidRDefault="009C060A" w:rsidP="004D353F">
      <w:pPr>
        <w:pStyle w:val="ListParagraph"/>
        <w:numPr>
          <w:ilvl w:val="0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ADUs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are viewed favorably as a tool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for existing homeowners to construct and rent 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to 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make extra income, good for affordable housing. </w:t>
      </w:r>
    </w:p>
    <w:p w14:paraId="238E8668" w14:textId="04A4F965" w:rsidR="009C060A" w:rsidRPr="00C201E1" w:rsidRDefault="009C060A" w:rsidP="009C060A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lastRenderedPageBreak/>
        <w:t xml:space="preserve">Concerns </w:t>
      </w:r>
      <w:proofErr w:type="gramStart"/>
      <w:r w:rsidRPr="00C201E1">
        <w:rPr>
          <w:rFonts w:ascii="Avenir" w:eastAsia="Calibri" w:hAnsi="Avenir" w:cs="Times New Roman"/>
          <w:sz w:val="24"/>
          <w:szCs w:val="24"/>
        </w:rPr>
        <w:t>voiced</w:t>
      </w:r>
      <w:proofErr w:type="gramEnd"/>
      <w:r w:rsidRPr="00C201E1">
        <w:rPr>
          <w:rFonts w:ascii="Avenir" w:eastAsia="Calibri" w:hAnsi="Avenir" w:cs="Times New Roman"/>
          <w:sz w:val="24"/>
          <w:szCs w:val="24"/>
        </w:rPr>
        <w:t xml:space="preserve"> that i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f 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construction is </w:t>
      </w:r>
      <w:r w:rsidRPr="00C201E1">
        <w:rPr>
          <w:rFonts w:ascii="Avenir" w:eastAsia="Calibri" w:hAnsi="Avenir" w:cs="Times New Roman"/>
          <w:sz w:val="24"/>
          <w:szCs w:val="24"/>
        </w:rPr>
        <w:t>made by-right, the investors currently in the communit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ies will </w:t>
      </w:r>
      <w:r w:rsidRPr="00C201E1">
        <w:rPr>
          <w:rFonts w:ascii="Avenir" w:eastAsia="Calibri" w:hAnsi="Avenir" w:cs="Times New Roman"/>
          <w:sz w:val="24"/>
          <w:szCs w:val="24"/>
        </w:rPr>
        <w:t>add ADUs to propert</w:t>
      </w:r>
      <w:r w:rsidRPr="00C201E1">
        <w:rPr>
          <w:rFonts w:ascii="Avenir" w:eastAsia="Calibri" w:hAnsi="Avenir" w:cs="Times New Roman"/>
          <w:sz w:val="24"/>
          <w:szCs w:val="24"/>
        </w:rPr>
        <w:t>ies at too high of a volume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and cause additional affordability issues</w:t>
      </w:r>
    </w:p>
    <w:p w14:paraId="4FA0D329" w14:textId="77777777" w:rsidR="009C060A" w:rsidRPr="00C201E1" w:rsidRDefault="009C060A" w:rsidP="009C060A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 xml:space="preserve">Suggestions offered to allow </w:t>
      </w:r>
      <w:r w:rsidRPr="00C201E1">
        <w:rPr>
          <w:rFonts w:ascii="Avenir" w:eastAsia="Calibri" w:hAnsi="Avenir" w:cs="Times New Roman"/>
          <w:sz w:val="24"/>
          <w:szCs w:val="24"/>
        </w:rPr>
        <w:t>owner-occupied units to develop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ADUs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by right but not for institutional investors </w:t>
      </w:r>
    </w:p>
    <w:p w14:paraId="7339F329" w14:textId="0D16F595" w:rsidR="009C060A" w:rsidRPr="00C201E1" w:rsidRDefault="009C060A" w:rsidP="009C060A">
      <w:pPr>
        <w:pStyle w:val="ListParagraph"/>
        <w:numPr>
          <w:ilvl w:val="2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Institutional investors “</w:t>
      </w:r>
      <w:r w:rsidRPr="00C201E1">
        <w:rPr>
          <w:rFonts w:ascii="Avenir" w:eastAsia="Calibri" w:hAnsi="Avenir" w:cs="Times New Roman"/>
          <w:sz w:val="24"/>
          <w:szCs w:val="24"/>
        </w:rPr>
        <w:t>already show</w:t>
      </w:r>
      <w:r w:rsidRPr="00C201E1">
        <w:rPr>
          <w:rFonts w:ascii="Avenir" w:eastAsia="Calibri" w:hAnsi="Avenir" w:cs="Times New Roman"/>
          <w:sz w:val="24"/>
          <w:szCs w:val="24"/>
        </w:rPr>
        <w:t>ed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themselves to be bad actors</w:t>
      </w:r>
      <w:r w:rsidRPr="00C201E1">
        <w:rPr>
          <w:rFonts w:ascii="Avenir" w:eastAsia="Calibri" w:hAnsi="Avenir" w:cs="Times New Roman"/>
          <w:sz w:val="24"/>
          <w:szCs w:val="24"/>
        </w:rPr>
        <w:t>”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following 2008 so </w:t>
      </w:r>
      <w:r w:rsidRPr="00C201E1">
        <w:rPr>
          <w:rFonts w:ascii="Avenir" w:eastAsia="Calibri" w:hAnsi="Avenir" w:cs="Times New Roman"/>
          <w:sz w:val="24"/>
          <w:szCs w:val="24"/>
        </w:rPr>
        <w:t>there is caution around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present</w:t>
      </w:r>
      <w:r w:rsidRPr="00C201E1">
        <w:rPr>
          <w:rFonts w:ascii="Avenir" w:eastAsia="Calibri" w:hAnsi="Avenir" w:cs="Times New Roman"/>
          <w:sz w:val="24"/>
          <w:szCs w:val="24"/>
        </w:rPr>
        <w:t>ing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a similar opportunity vis-a-vis ADUs</w:t>
      </w:r>
      <w:r w:rsidRPr="00C201E1">
        <w:rPr>
          <w:rFonts w:ascii="Avenir" w:eastAsia="Calibri" w:hAnsi="Avenir" w:cs="Times New Roman"/>
          <w:sz w:val="24"/>
          <w:szCs w:val="24"/>
        </w:rPr>
        <w:t>.</w:t>
      </w:r>
    </w:p>
    <w:p w14:paraId="3A48767B" w14:textId="09BA8666" w:rsidR="009C060A" w:rsidRPr="00C201E1" w:rsidRDefault="009C060A" w:rsidP="009C060A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Desires to include site orientation language to force placement as a “backyard cottage”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behind primary structure and </w:t>
      </w:r>
      <w:r w:rsidRPr="00C201E1">
        <w:rPr>
          <w:rFonts w:ascii="Avenir" w:eastAsia="Calibri" w:hAnsi="Avenir" w:cs="Times New Roman"/>
          <w:sz w:val="24"/>
          <w:szCs w:val="24"/>
        </w:rPr>
        <w:t>make ADUs in</w:t>
      </w:r>
      <w:r w:rsidRPr="00C201E1">
        <w:rPr>
          <w:rFonts w:ascii="Avenir" w:eastAsia="Calibri" w:hAnsi="Avenir" w:cs="Times New Roman"/>
          <w:sz w:val="24"/>
          <w:szCs w:val="24"/>
        </w:rPr>
        <w:t>visible from the street</w:t>
      </w:r>
    </w:p>
    <w:p w14:paraId="74CF5D2D" w14:textId="77777777" w:rsidR="009C060A" w:rsidRPr="00C201E1" w:rsidRDefault="009C060A" w:rsidP="009C060A">
      <w:pPr>
        <w:pStyle w:val="ListParagraph"/>
        <w:numPr>
          <w:ilvl w:val="0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New subdivision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s are often created with 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amenities 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that </w:t>
      </w:r>
      <w:r w:rsidRPr="00C201E1">
        <w:rPr>
          <w:rFonts w:ascii="Avenir" w:eastAsia="Calibri" w:hAnsi="Avenir" w:cs="Times New Roman"/>
          <w:sz w:val="24"/>
          <w:szCs w:val="24"/>
        </w:rPr>
        <w:t>are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then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deeded to HOAs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for maintenance</w:t>
      </w:r>
    </w:p>
    <w:p w14:paraId="1D9A1D00" w14:textId="77777777" w:rsidR="009C060A" w:rsidRPr="00C201E1" w:rsidRDefault="009C060A" w:rsidP="009C060A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These HOAs often only exist as an extension of the subdivision’s development and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may not want to exist </w:t>
      </w:r>
      <w:r w:rsidRPr="00C201E1">
        <w:rPr>
          <w:rFonts w:ascii="Avenir" w:eastAsia="Calibri" w:hAnsi="Avenir" w:cs="Times New Roman"/>
          <w:sz w:val="24"/>
          <w:szCs w:val="24"/>
        </w:rPr>
        <w:t>as entities/are defunct</w:t>
      </w:r>
    </w:p>
    <w:p w14:paraId="6D3A7EE8" w14:textId="4E2CAC68" w:rsidR="009C060A" w:rsidRPr="00C201E1" w:rsidRDefault="009C060A" w:rsidP="009C060A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D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evelopers taking </w:t>
      </w:r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advantage of tax </w:t>
      </w:r>
      <w:r w:rsidRPr="00C201E1">
        <w:rPr>
          <w:rFonts w:ascii="Avenir" w:eastAsia="Calibri" w:hAnsi="Avenir" w:cs="Times New Roman"/>
          <w:sz w:val="24"/>
          <w:szCs w:val="24"/>
        </w:rPr>
        <w:t>credits for "open space" in the floodplain</w:t>
      </w:r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s or otherwise undevelopable </w:t>
      </w:r>
      <w:proofErr w:type="gramStart"/>
      <w:r w:rsidR="008F7B68" w:rsidRPr="00C201E1">
        <w:rPr>
          <w:rFonts w:ascii="Avenir" w:eastAsia="Calibri" w:hAnsi="Avenir" w:cs="Times New Roman"/>
          <w:sz w:val="24"/>
          <w:szCs w:val="24"/>
        </w:rPr>
        <w:t>areas</w:t>
      </w:r>
      <w:proofErr w:type="gramEnd"/>
      <w:r w:rsidR="008F7B68" w:rsidRPr="00C201E1">
        <w:rPr>
          <w:rFonts w:ascii="Avenir" w:eastAsia="Calibri" w:hAnsi="Avenir" w:cs="Times New Roman"/>
          <w:sz w:val="24"/>
          <w:szCs w:val="24"/>
        </w:rPr>
        <w:t xml:space="preserve"> so the amenities often fail to meet expectations</w:t>
      </w:r>
    </w:p>
    <w:p w14:paraId="52A39EE7" w14:textId="3E4371ED" w:rsidR="00C201E1" w:rsidRPr="00C201E1" w:rsidRDefault="00C201E1" w:rsidP="00C201E1">
      <w:pPr>
        <w:spacing w:line="256" w:lineRule="auto"/>
        <w:rPr>
          <w:rFonts w:ascii="Avenir" w:eastAsia="Calibri" w:hAnsi="Avenir" w:cs="Times New Roman"/>
          <w:b/>
          <w:bCs/>
          <w:sz w:val="24"/>
          <w:szCs w:val="24"/>
        </w:rPr>
      </w:pPr>
      <w:r w:rsidRPr="00C201E1">
        <w:rPr>
          <w:rFonts w:ascii="Avenir" w:eastAsia="Calibri" w:hAnsi="Avenir" w:cs="Times New Roman"/>
          <w:b/>
          <w:bCs/>
          <w:sz w:val="24"/>
          <w:szCs w:val="24"/>
        </w:rPr>
        <w:t>Commercial</w:t>
      </w:r>
    </w:p>
    <w:p w14:paraId="4481594A" w14:textId="14585E52" w:rsidR="00C201E1" w:rsidRPr="00C201E1" w:rsidRDefault="00C201E1" w:rsidP="00C201E1">
      <w:pPr>
        <w:pStyle w:val="ListParagraph"/>
        <w:numPr>
          <w:ilvl w:val="0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Attendees were curious about how incentives could be baked into the update ordinance to encourage desired development types</w:t>
      </w:r>
    </w:p>
    <w:p w14:paraId="01C8482D" w14:textId="77777777" w:rsidR="00C201E1" w:rsidRPr="00C201E1" w:rsidRDefault="00C201E1" w:rsidP="00C201E1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Need focus on third spaces in mixed use developments (e.g. coffee shops, restaurants, etc.)</w:t>
      </w:r>
    </w:p>
    <w:p w14:paraId="6A13F44F" w14:textId="75C4E29D" w:rsidR="00C201E1" w:rsidRPr="00C201E1" w:rsidRDefault="00C201E1" w:rsidP="00C201E1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Suggestions offered to redevelop current industrial sites to mixed use developments</w:t>
      </w:r>
    </w:p>
    <w:p w14:paraId="6D154549" w14:textId="0F75560E" w:rsidR="00C201E1" w:rsidRPr="00C201E1" w:rsidRDefault="00C201E1" w:rsidP="00C201E1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Preferred design and land use restrictions:</w:t>
      </w:r>
    </w:p>
    <w:p w14:paraId="2471D929" w14:textId="77777777" w:rsidR="00C201E1" w:rsidRPr="00C201E1" w:rsidRDefault="00C201E1" w:rsidP="00C201E1">
      <w:pPr>
        <w:pStyle w:val="ListParagraph"/>
        <w:numPr>
          <w:ilvl w:val="2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Lower</w:t>
      </w:r>
      <w:r w:rsidRPr="00C201E1">
        <w:rPr>
          <w:rFonts w:ascii="Avenir" w:eastAsia="Calibri" w:hAnsi="Avenir" w:cs="Times New Roman"/>
          <w:sz w:val="24"/>
          <w:szCs w:val="24"/>
        </w:rPr>
        <w:t>ed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parking requirements near BRT areas</w:t>
      </w:r>
    </w:p>
    <w:p w14:paraId="2BC6C7E5" w14:textId="5B01A277" w:rsidR="00C201E1" w:rsidRPr="00C201E1" w:rsidRDefault="00C201E1" w:rsidP="00C201E1">
      <w:pPr>
        <w:pStyle w:val="ListParagraph"/>
        <w:numPr>
          <w:ilvl w:val="2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Pedestrian infrastructure in new developments</w:t>
      </w:r>
    </w:p>
    <w:p w14:paraId="12238890" w14:textId="1FDBE8B9" w:rsidR="00C201E1" w:rsidRPr="00C201E1" w:rsidRDefault="00C201E1" w:rsidP="00C201E1">
      <w:pPr>
        <w:pStyle w:val="ListParagraph"/>
        <w:numPr>
          <w:ilvl w:val="2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M</w:t>
      </w:r>
      <w:r w:rsidRPr="00C201E1">
        <w:rPr>
          <w:rFonts w:ascii="Avenir" w:eastAsia="Calibri" w:hAnsi="Avenir" w:cs="Times New Roman"/>
          <w:sz w:val="24"/>
          <w:szCs w:val="24"/>
        </w:rPr>
        <w:t>ore uniform design standards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(especially along corridors)</w:t>
      </w:r>
    </w:p>
    <w:p w14:paraId="51592F90" w14:textId="2796A22A" w:rsidR="00C201E1" w:rsidRPr="00C201E1" w:rsidRDefault="00C201E1" w:rsidP="00C201E1">
      <w:pPr>
        <w:pStyle w:val="ListParagraph"/>
        <w:numPr>
          <w:ilvl w:val="0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County currently disadvantaged by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lackluster commercial corridors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and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unable to attract the type of high quality/luxury style real estate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and modern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shopping centers</w:t>
      </w:r>
    </w:p>
    <w:p w14:paraId="3DB4BE09" w14:textId="10AF4C6F" w:rsidR="008F7B68" w:rsidRPr="00C201E1" w:rsidRDefault="008F7B68" w:rsidP="008F7B68">
      <w:pPr>
        <w:spacing w:line="256" w:lineRule="auto"/>
        <w:rPr>
          <w:rFonts w:ascii="Avenir" w:eastAsia="Calibri" w:hAnsi="Avenir" w:cs="Times New Roman"/>
          <w:b/>
          <w:bCs/>
          <w:sz w:val="24"/>
          <w:szCs w:val="24"/>
        </w:rPr>
      </w:pPr>
      <w:r w:rsidRPr="00C201E1">
        <w:rPr>
          <w:rFonts w:ascii="Avenir" w:eastAsia="Calibri" w:hAnsi="Avenir" w:cs="Times New Roman"/>
          <w:b/>
          <w:bCs/>
          <w:sz w:val="24"/>
          <w:szCs w:val="24"/>
        </w:rPr>
        <w:t>Enforcement</w:t>
      </w:r>
    </w:p>
    <w:p w14:paraId="59EB349D" w14:textId="13F35298" w:rsidR="008F7B68" w:rsidRPr="00C201E1" w:rsidRDefault="008F7B68" w:rsidP="008F7B68">
      <w:pPr>
        <w:pStyle w:val="ListParagraph"/>
        <w:numPr>
          <w:ilvl w:val="0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>Interest shown in “adding teeth” to enforcement through the code rewrite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</w:t>
      </w:r>
      <w:r w:rsidRPr="00C201E1">
        <w:rPr>
          <w:rFonts w:ascii="Avenir" w:eastAsia="Calibri" w:hAnsi="Avenir" w:cs="Times New Roman"/>
          <w:sz w:val="24"/>
          <w:szCs w:val="24"/>
        </w:rPr>
        <w:t>wherever possible to address existing enforcement gaps</w:t>
      </w:r>
    </w:p>
    <w:p w14:paraId="64E398F3" w14:textId="5A3C43DE" w:rsidR="008F7B68" w:rsidRPr="00C201E1" w:rsidRDefault="008F7B68" w:rsidP="008F7B68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lastRenderedPageBreak/>
        <w:t>Example: out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of state </w:t>
      </w:r>
      <w:r w:rsidRPr="00C201E1">
        <w:rPr>
          <w:rFonts w:ascii="Avenir" w:eastAsia="Calibri" w:hAnsi="Avenir" w:cs="Times New Roman"/>
          <w:sz w:val="24"/>
          <w:szCs w:val="24"/>
        </w:rPr>
        <w:t>home</w:t>
      </w:r>
      <w:r w:rsidRPr="00C201E1">
        <w:rPr>
          <w:rFonts w:ascii="Avenir" w:eastAsia="Calibri" w:hAnsi="Avenir" w:cs="Times New Roman"/>
          <w:sz w:val="24"/>
          <w:szCs w:val="24"/>
        </w:rPr>
        <w:t>ownership dynamics remov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es </w:t>
      </w:r>
      <w:r w:rsidRPr="00C201E1">
        <w:rPr>
          <w:rFonts w:ascii="Avenir" w:eastAsia="Calibri" w:hAnsi="Avenir" w:cs="Times New Roman"/>
          <w:sz w:val="24"/>
          <w:szCs w:val="24"/>
        </w:rPr>
        <w:t>tax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leverage and other civil penalties for lack of maintenance or other issues</w:t>
      </w:r>
    </w:p>
    <w:p w14:paraId="16E6A6FA" w14:textId="51A77C9D" w:rsidR="008F7B68" w:rsidRPr="00C201E1" w:rsidRDefault="008F7B68" w:rsidP="008F7B68">
      <w:pPr>
        <w:pStyle w:val="ListParagraph"/>
        <w:numPr>
          <w:ilvl w:val="1"/>
          <w:numId w:val="4"/>
        </w:numPr>
        <w:spacing w:line="256" w:lineRule="auto"/>
        <w:rPr>
          <w:rFonts w:ascii="Avenir" w:eastAsia="Calibri" w:hAnsi="Avenir" w:cs="Times New Roman"/>
          <w:sz w:val="24"/>
          <w:szCs w:val="24"/>
        </w:rPr>
      </w:pPr>
      <w:r w:rsidRPr="00C201E1">
        <w:rPr>
          <w:rFonts w:ascii="Avenir" w:eastAsia="Calibri" w:hAnsi="Avenir" w:cs="Times New Roman"/>
          <w:sz w:val="24"/>
          <w:szCs w:val="24"/>
        </w:rPr>
        <w:t xml:space="preserve">Example: land bank sites 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currently </w:t>
      </w:r>
      <w:r w:rsidRPr="00C201E1">
        <w:rPr>
          <w:rFonts w:ascii="Avenir" w:eastAsia="Calibri" w:hAnsi="Avenir" w:cs="Times New Roman"/>
          <w:sz w:val="24"/>
          <w:szCs w:val="24"/>
        </w:rPr>
        <w:t>have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illegal dumping, which can be </w:t>
      </w:r>
      <w:r w:rsidRPr="00C201E1">
        <w:rPr>
          <w:rFonts w:ascii="Avenir" w:eastAsia="Calibri" w:hAnsi="Avenir" w:cs="Times New Roman"/>
          <w:sz w:val="24"/>
          <w:szCs w:val="24"/>
        </w:rPr>
        <w:t>off putting</w:t>
      </w:r>
      <w:r w:rsidRPr="00C201E1">
        <w:rPr>
          <w:rFonts w:ascii="Avenir" w:eastAsia="Calibri" w:hAnsi="Avenir" w:cs="Times New Roman"/>
          <w:sz w:val="24"/>
          <w:szCs w:val="24"/>
        </w:rPr>
        <w:t xml:space="preserve"> to potential buyers. </w:t>
      </w:r>
    </w:p>
    <w:sectPr w:rsidR="008F7B68" w:rsidRPr="00C20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3C8A"/>
    <w:multiLevelType w:val="hybridMultilevel"/>
    <w:tmpl w:val="5A20FBBA"/>
    <w:lvl w:ilvl="0" w:tplc="2DFC74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DF2A84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8F6DB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C7463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3B8A9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38E70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22EE7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6583A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ADEB7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0E661F74"/>
    <w:multiLevelType w:val="hybridMultilevel"/>
    <w:tmpl w:val="96887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B4150"/>
    <w:multiLevelType w:val="hybridMultilevel"/>
    <w:tmpl w:val="ACF25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314EE"/>
    <w:multiLevelType w:val="hybridMultilevel"/>
    <w:tmpl w:val="21CE4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84176"/>
    <w:multiLevelType w:val="hybridMultilevel"/>
    <w:tmpl w:val="185A7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04B83"/>
    <w:multiLevelType w:val="hybridMultilevel"/>
    <w:tmpl w:val="6CE64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423815">
    <w:abstractNumId w:val="3"/>
  </w:num>
  <w:num w:numId="2" w16cid:durableId="263462721">
    <w:abstractNumId w:val="2"/>
  </w:num>
  <w:num w:numId="3" w16cid:durableId="2085907690">
    <w:abstractNumId w:val="1"/>
  </w:num>
  <w:num w:numId="4" w16cid:durableId="1882283617">
    <w:abstractNumId w:val="5"/>
  </w:num>
  <w:num w:numId="5" w16cid:durableId="561789747">
    <w:abstractNumId w:val="4"/>
  </w:num>
  <w:num w:numId="6" w16cid:durableId="156856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3F"/>
    <w:rsid w:val="000236C9"/>
    <w:rsid w:val="004D353F"/>
    <w:rsid w:val="008F7B68"/>
    <w:rsid w:val="009C060A"/>
    <w:rsid w:val="00BB7447"/>
    <w:rsid w:val="00C201E1"/>
    <w:rsid w:val="00E7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8CD9D"/>
  <w15:chartTrackingRefBased/>
  <w15:docId w15:val="{13A7F944-810A-434E-877E-17BB4EE3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53F"/>
  </w:style>
  <w:style w:type="paragraph" w:styleId="Heading1">
    <w:name w:val="heading 1"/>
    <w:basedOn w:val="Normal"/>
    <w:next w:val="Normal"/>
    <w:link w:val="Heading1Char"/>
    <w:uiPriority w:val="9"/>
    <w:qFormat/>
    <w:rsid w:val="004D3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5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5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5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5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5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5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5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5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5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5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5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5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5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53F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D35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5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5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5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5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E4A7002A906439038460273A890FD" ma:contentTypeVersion="19" ma:contentTypeDescription="Create a new document." ma:contentTypeScope="" ma:versionID="4488adde7be1f81b1f10d4b09f6d6129">
  <xsd:schema xmlns:xsd="http://www.w3.org/2001/XMLSchema" xmlns:xs="http://www.w3.org/2001/XMLSchema" xmlns:p="http://schemas.microsoft.com/office/2006/metadata/properties" xmlns:ns2="cc009ec7-0d5c-4fd1-85d9-14cc2f2df326" xmlns:ns3="4fc62195-b9bb-4e1e-9d38-9ca167117d6c" targetNamespace="http://schemas.microsoft.com/office/2006/metadata/properties" ma:root="true" ma:fieldsID="e8f0950f8d25bce65d99bca407f1ba7f" ns2:_="" ns3:_="">
    <xsd:import namespace="cc009ec7-0d5c-4fd1-85d9-14cc2f2df326"/>
    <xsd:import namespace="4fc62195-b9bb-4e1e-9d38-9ca167117d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09ec7-0d5c-4fd1-85d9-14cc2f2df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0de024-53c8-42bd-82b3-731620b2d3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62195-b9bb-4e1e-9d38-9ca167117d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ff9228-2675-428d-a756-ff637cad2490}" ma:internalName="TaxCatchAll" ma:showField="CatchAllData" ma:web="4fc62195-b9bb-4e1e-9d38-9ca167117d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009ec7-0d5c-4fd1-85d9-14cc2f2df326">
      <Terms xmlns="http://schemas.microsoft.com/office/infopath/2007/PartnerControls"/>
    </lcf76f155ced4ddcb4097134ff3c332f>
    <TaxCatchAll xmlns="4fc62195-b9bb-4e1e-9d38-9ca167117d6c" xsi:nil="true"/>
  </documentManagement>
</p:properties>
</file>

<file path=customXml/itemProps1.xml><?xml version="1.0" encoding="utf-8"?>
<ds:datastoreItem xmlns:ds="http://schemas.openxmlformats.org/officeDocument/2006/customXml" ds:itemID="{EF442F43-AB3F-40EF-8451-4CE345220DF2}"/>
</file>

<file path=customXml/itemProps2.xml><?xml version="1.0" encoding="utf-8"?>
<ds:datastoreItem xmlns:ds="http://schemas.openxmlformats.org/officeDocument/2006/customXml" ds:itemID="{BF2496E7-A262-469E-B36D-5A54188E5FAB}"/>
</file>

<file path=customXml/itemProps3.xml><?xml version="1.0" encoding="utf-8"?>
<ds:datastoreItem xmlns:ds="http://schemas.openxmlformats.org/officeDocument/2006/customXml" ds:itemID="{4C79D65D-3097-4CA2-BA95-7849077F1C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Davis</dc:creator>
  <cp:keywords/>
  <dc:description/>
  <cp:lastModifiedBy>Madison Davis</cp:lastModifiedBy>
  <cp:revision>1</cp:revision>
  <dcterms:created xsi:type="dcterms:W3CDTF">2026-02-03T13:30:00Z</dcterms:created>
  <dcterms:modified xsi:type="dcterms:W3CDTF">2026-02-03T14:09:00Z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0x010100610E4A7002A906439038460273A890FD</vt:lpwstr>
  </property>
</Properties>
</file>